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1C" w:rsidRPr="00105240" w:rsidRDefault="00A01D2D" w:rsidP="00864FF3">
      <w:pPr>
        <w:jc w:val="center"/>
        <w:rPr>
          <w:b/>
          <w:bCs/>
          <w:sz w:val="25"/>
          <w:szCs w:val="25"/>
          <w:rtl/>
        </w:rPr>
      </w:pPr>
      <w:r>
        <w:rPr>
          <w:rFonts w:hint="cs"/>
          <w:b/>
          <w:bCs/>
          <w:noProof/>
          <w:sz w:val="25"/>
          <w:szCs w:val="25"/>
          <w:rtl/>
        </w:rPr>
        <w:pict>
          <v:roundrect id="_x0000_s1026" style="position:absolute;left:0;text-align:left;margin-left:3.75pt;margin-top:-38.25pt;width:42.75pt;height:32.25pt;z-index:2516582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A01D2D" w:rsidRPr="00A01D2D" w:rsidRDefault="00A01D2D" w:rsidP="00A01D2D">
                  <w:pPr>
                    <w:jc w:val="center"/>
                    <w:rPr>
                      <w:b/>
                      <w:bCs/>
                    </w:rPr>
                  </w:pPr>
                  <w:r w:rsidRPr="00A01D2D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oundrect>
        </w:pict>
      </w:r>
      <w:r w:rsidR="00F07777" w:rsidRPr="00105240">
        <w:rPr>
          <w:rFonts w:hint="cs"/>
          <w:b/>
          <w:bCs/>
          <w:sz w:val="25"/>
          <w:szCs w:val="25"/>
          <w:rtl/>
        </w:rPr>
        <w:t>ملخص الدراسة</w:t>
      </w:r>
    </w:p>
    <w:p w:rsidR="00ED2496" w:rsidRPr="00105240" w:rsidRDefault="00F07777" w:rsidP="00ED2496">
      <w:pPr>
        <w:jc w:val="center"/>
        <w:rPr>
          <w:rFonts w:cs="Traditional Arabic"/>
          <w:b/>
          <w:bCs/>
          <w:sz w:val="25"/>
          <w:szCs w:val="25"/>
          <w:rtl/>
        </w:rPr>
      </w:pPr>
      <w:r w:rsidRPr="00105240">
        <w:rPr>
          <w:rFonts w:ascii="Arabic Typesetting" w:hAnsi="Arabic Typesetting" w:cs="Simplified Arabic" w:hint="cs"/>
          <w:b/>
          <w:bCs/>
          <w:sz w:val="25"/>
          <w:szCs w:val="25"/>
          <w:rtl/>
        </w:rPr>
        <w:t>عنوان الدراسة</w:t>
      </w:r>
      <w:r w:rsidRPr="00105240">
        <w:rPr>
          <w:rFonts w:hint="cs"/>
          <w:sz w:val="25"/>
          <w:szCs w:val="25"/>
          <w:rtl/>
        </w:rPr>
        <w:t xml:space="preserve"> : (</w:t>
      </w:r>
      <w:r w:rsidR="00ED2496" w:rsidRPr="00105240">
        <w:rPr>
          <w:rFonts w:cs="Traditional Arabic" w:hint="cs"/>
          <w:b/>
          <w:bCs/>
          <w:sz w:val="25"/>
          <w:szCs w:val="25"/>
          <w:rtl/>
        </w:rPr>
        <w:t>الكفايات الواجب توافرها ضمن برنامج إعداد معلم العلوم التجارية</w:t>
      </w:r>
    </w:p>
    <w:p w:rsidR="00ED2496" w:rsidRPr="00105240" w:rsidRDefault="00ED2496" w:rsidP="00D61D51">
      <w:pPr>
        <w:jc w:val="center"/>
        <w:rPr>
          <w:rFonts w:cs="Traditional Arabic"/>
          <w:b/>
          <w:bCs/>
          <w:sz w:val="25"/>
          <w:szCs w:val="25"/>
          <w:rtl/>
        </w:rPr>
      </w:pPr>
      <w:r w:rsidRPr="00105240">
        <w:rPr>
          <w:rFonts w:cs="Traditional Arabic" w:hint="cs"/>
          <w:b/>
          <w:bCs/>
          <w:sz w:val="25"/>
          <w:szCs w:val="25"/>
          <w:rtl/>
        </w:rPr>
        <w:t>بكلية التربية بسوهاج من وجه نظر المتخصصين)</w:t>
      </w:r>
      <w:r w:rsidR="00D61D51" w:rsidRPr="00105240">
        <w:rPr>
          <w:rFonts w:cs="Traditional Arabic" w:hint="cs"/>
          <w:b/>
          <w:bCs/>
          <w:sz w:val="25"/>
          <w:szCs w:val="25"/>
          <w:rtl/>
        </w:rPr>
        <w:t xml:space="preserve"> </w:t>
      </w:r>
      <w:r w:rsidRPr="00105240">
        <w:rPr>
          <w:rFonts w:cs="Traditional Arabic" w:hint="cs"/>
          <w:b/>
          <w:bCs/>
          <w:sz w:val="25"/>
          <w:szCs w:val="25"/>
          <w:rtl/>
        </w:rPr>
        <w:t>"تصور مقترح"</w:t>
      </w:r>
    </w:p>
    <w:p w:rsidR="00A2522B" w:rsidRPr="00105240" w:rsidRDefault="00A2522B" w:rsidP="00ED2496">
      <w:pPr>
        <w:jc w:val="lowKashida"/>
        <w:rPr>
          <w:rFonts w:ascii="Arial Narrow" w:hAnsi="Arial Narrow" w:cs="Simplified Arabic"/>
          <w:sz w:val="25"/>
          <w:szCs w:val="25"/>
          <w:rtl/>
        </w:rPr>
      </w:pPr>
      <w:r w:rsidRPr="00105240">
        <w:rPr>
          <w:rFonts w:ascii="Arial Narrow" w:hAnsi="Arial Narrow" w:cs="Simplified Arabic" w:hint="cs"/>
          <w:sz w:val="25"/>
          <w:szCs w:val="25"/>
          <w:rtl/>
        </w:rPr>
        <w:t xml:space="preserve">مشكلة الدراسة:التعرف على </w:t>
      </w:r>
      <w:r w:rsidR="00ED2496" w:rsidRPr="00105240">
        <w:rPr>
          <w:rFonts w:ascii="Arial Narrow" w:hAnsi="Arial Narrow" w:cs="Simplified Arabic" w:hint="cs"/>
          <w:b/>
          <w:bCs/>
          <w:sz w:val="25"/>
          <w:szCs w:val="25"/>
          <w:rtl/>
        </w:rPr>
        <w:t>الكفايات الواجب توافرها لإعداد معلمي العلوم التجارية بكلية التربية بسوهاج من وجه نظر المتخصصين.</w:t>
      </w:r>
    </w:p>
    <w:p w:rsidR="00ED2496" w:rsidRPr="00105240" w:rsidRDefault="00ED2496" w:rsidP="00ED2496">
      <w:pPr>
        <w:jc w:val="lowKashida"/>
        <w:rPr>
          <w:rFonts w:ascii="Arial Narrow" w:hAnsi="Arial Narrow" w:cs="Simplified Arabic"/>
          <w:sz w:val="25"/>
          <w:szCs w:val="25"/>
          <w:rtl/>
        </w:rPr>
      </w:pPr>
      <w:r w:rsidRPr="00105240">
        <w:rPr>
          <w:rFonts w:ascii="Arial Narrow" w:hAnsi="Arial Narrow" w:cs="Simplified Arabic" w:hint="cs"/>
          <w:sz w:val="25"/>
          <w:szCs w:val="25"/>
          <w:rtl/>
        </w:rPr>
        <w:t>مشكلة الدراسة : حاولت الدراسة الحالية الإجابة عن التساؤل الرئيسي التالي: ما الكفايات الواجب توافرها لإعداد معلمي العلوم التجارية بكلية التربية بسوهاج؟</w:t>
      </w:r>
    </w:p>
    <w:p w:rsidR="00ED2496" w:rsidRPr="00105240" w:rsidRDefault="00ED2496" w:rsidP="00ED2496">
      <w:pPr>
        <w:jc w:val="lowKashida"/>
        <w:rPr>
          <w:rFonts w:ascii="Arial" w:hAnsi="Arial" w:cs="Traditional Arabic"/>
          <w:b/>
          <w:bCs/>
          <w:sz w:val="25"/>
          <w:szCs w:val="25"/>
          <w:rtl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لتحقيق أهداف البحث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اتبع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الباحث الخطوات التالية: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تحديد الكفايات اللازمة لعينة البحث، وذلك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بإتباع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ما يلي:</w:t>
      </w:r>
    </w:p>
    <w:p w:rsidR="00ED2496" w:rsidRPr="00105240" w:rsidRDefault="00ED2496" w:rsidP="00ED2496">
      <w:pPr>
        <w:pStyle w:val="1"/>
        <w:numPr>
          <w:ilvl w:val="0"/>
          <w:numId w:val="6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الاطلاع على الدراسات والبحوث التربوية وأيضاً الكفايات التربوية في هذا المجال.</w:t>
      </w:r>
    </w:p>
    <w:p w:rsidR="00ED2496" w:rsidRPr="00105240" w:rsidRDefault="00ED2496" w:rsidP="00ED2496">
      <w:pPr>
        <w:pStyle w:val="1"/>
        <w:numPr>
          <w:ilvl w:val="0"/>
          <w:numId w:val="6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الاطلاع على القوائم التي حددت الكفايات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 xml:space="preserve">اللازمة للمعلمين 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.</w:t>
      </w:r>
    </w:p>
    <w:p w:rsidR="00ED2496" w:rsidRPr="00105240" w:rsidRDefault="00ED2496" w:rsidP="00ED2496">
      <w:pPr>
        <w:pStyle w:val="1"/>
        <w:numPr>
          <w:ilvl w:val="0"/>
          <w:numId w:val="6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عرض القائمة على مجموعة من الخبراء والمتخصصين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فى مجال العلوم التجارية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.</w:t>
      </w:r>
    </w:p>
    <w:p w:rsidR="00ED2496" w:rsidRPr="00105240" w:rsidRDefault="00ED2496" w:rsidP="00ED2496">
      <w:pPr>
        <w:pStyle w:val="1"/>
        <w:numPr>
          <w:ilvl w:val="0"/>
          <w:numId w:val="6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تعديل القائمة في ضوء أراء المحكمين.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تصميم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 xml:space="preserve">استبانه تحتوى على كفايات عامة وكفايات تربوية علمية وكفايات تكنولوجية  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عرض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 xml:space="preserve"> الاستبانة على مجموعة من 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الخبراء والمتخصصين في المناهج وطرق تدريس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 xml:space="preserve">العلوم التجارية 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تعديل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الاستبانة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في ضوء أراء المحكمين.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اختيار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عينة عشوائية من المتخصصين فى مجال العلوم التجاري 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تطبيق قائمة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على المتخصيين من المعلمين والموجهين وأعضاء هيئة التدريس المتخصصين فى العلوم التجارية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المعالجة الإحصائية.</w:t>
      </w:r>
    </w:p>
    <w:p w:rsidR="00ED2496" w:rsidRPr="00105240" w:rsidRDefault="00ED2496" w:rsidP="00ED2496">
      <w:pPr>
        <w:pStyle w:val="1"/>
        <w:numPr>
          <w:ilvl w:val="0"/>
          <w:numId w:val="5"/>
        </w:numPr>
        <w:bidi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>تفسير النتائج وتقديم التوصيات والمقترحات.</w:t>
      </w:r>
    </w:p>
    <w:p w:rsidR="00ED2496" w:rsidRPr="00105240" w:rsidRDefault="00ED2496" w:rsidP="00ED2496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  <w:lang w:bidi="ar-AE"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منهج الدراسة : استخدم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الباحث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المنهج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الوصفي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لوصف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وتحليل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الأدبيات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والبحوث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والدراسات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السابقة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،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والإفادة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من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وجهة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نظر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المختصين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في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الوصول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إلي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تصور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حول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الكفايات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الواجب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توافرها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لإعداد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معلمي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العلوم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التجارية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بكلية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التربية</w:t>
      </w:r>
      <w:r w:rsidRPr="00105240">
        <w:rPr>
          <w:rFonts w:ascii="Arial" w:hAnsi="Arial" w:cs="Traditional Arabic"/>
          <w:b/>
          <w:bCs/>
          <w:sz w:val="25"/>
          <w:szCs w:val="25"/>
          <w:rtl/>
          <w:lang w:bidi="ar-AE"/>
        </w:rPr>
        <w:t xml:space="preserve"> 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بسوهاج</w:t>
      </w:r>
    </w:p>
    <w:p w:rsidR="00ED2496" w:rsidRPr="00105240" w:rsidRDefault="00ED2496" w:rsidP="00ED2496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  <w:rtl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  <w:lang w:bidi="ar-AE"/>
        </w:rPr>
        <w:t>عينة الدراسة: تكونت عينة الدراسة من (200) متخصص فى العلوم التجارية بمحافظة سوهاج.</w:t>
      </w:r>
    </w:p>
    <w:p w:rsidR="00ED2496" w:rsidRPr="00105240" w:rsidRDefault="00ED2496" w:rsidP="00ED2496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  <w:rtl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نتائج الدراسة : توصلت الدراسة </w:t>
      </w:r>
      <w:r w:rsidR="0063779B" w:rsidRPr="00105240">
        <w:rPr>
          <w:rFonts w:ascii="Arial" w:hAnsi="Arial" w:cs="Traditional Arabic" w:hint="cs"/>
          <w:b/>
          <w:bCs/>
          <w:sz w:val="25"/>
          <w:szCs w:val="25"/>
          <w:rtl/>
        </w:rPr>
        <w:t>إلي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 قائمة بالكفايات تمثلت فى ثلاث قوائم على النحو التالي:</w:t>
      </w:r>
    </w:p>
    <w:p w:rsidR="00ED2496" w:rsidRPr="00105240" w:rsidRDefault="00ED2496" w:rsidP="00ED2496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  <w:rtl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- قائمة الكفايات العامة </w:t>
      </w:r>
      <w:r w:rsidR="00B23495" w:rsidRPr="00105240">
        <w:rPr>
          <w:rFonts w:ascii="Arial" w:hAnsi="Arial" w:cs="Traditional Arabic" w:hint="cs"/>
          <w:b/>
          <w:bCs/>
          <w:sz w:val="25"/>
          <w:szCs w:val="25"/>
          <w:rtl/>
        </w:rPr>
        <w:t>واشتملت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 على (58) كفاية.</w:t>
      </w:r>
    </w:p>
    <w:p w:rsidR="00ED2496" w:rsidRPr="00105240" w:rsidRDefault="00ED2496" w:rsidP="00ED2496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  <w:rtl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- قائمة بالكفايات العلمية والتربوية </w:t>
      </w:r>
      <w:r w:rsidR="00B23495" w:rsidRPr="00105240">
        <w:rPr>
          <w:rFonts w:ascii="Arial" w:hAnsi="Arial" w:cs="Traditional Arabic" w:hint="cs"/>
          <w:b/>
          <w:bCs/>
          <w:sz w:val="25"/>
          <w:szCs w:val="25"/>
          <w:rtl/>
        </w:rPr>
        <w:t>واشتملت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 علي (59) كفاية.</w:t>
      </w:r>
    </w:p>
    <w:p w:rsidR="00F07777" w:rsidRPr="00105240" w:rsidRDefault="00ED2496" w:rsidP="00105240">
      <w:pPr>
        <w:pStyle w:val="1"/>
        <w:bidi/>
        <w:ind w:left="0"/>
        <w:jc w:val="lowKashida"/>
        <w:rPr>
          <w:rFonts w:ascii="Arial" w:hAnsi="Arial" w:cs="Traditional Arabic"/>
          <w:b/>
          <w:bCs/>
          <w:sz w:val="25"/>
          <w:szCs w:val="25"/>
        </w:rPr>
      </w:pP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- قائمة بالكفايات التكنولوجية </w:t>
      </w:r>
      <w:r w:rsidR="00B23495" w:rsidRPr="00105240">
        <w:rPr>
          <w:rFonts w:ascii="Arial" w:hAnsi="Arial" w:cs="Traditional Arabic" w:hint="cs"/>
          <w:b/>
          <w:bCs/>
          <w:sz w:val="25"/>
          <w:szCs w:val="25"/>
          <w:rtl/>
        </w:rPr>
        <w:t>واشتملت</w:t>
      </w:r>
      <w:r w:rsidRPr="00105240">
        <w:rPr>
          <w:rFonts w:ascii="Arial" w:hAnsi="Arial" w:cs="Traditional Arabic" w:hint="cs"/>
          <w:b/>
          <w:bCs/>
          <w:sz w:val="25"/>
          <w:szCs w:val="25"/>
          <w:rtl/>
        </w:rPr>
        <w:t xml:space="preserve"> على علي (46) كفاية .</w:t>
      </w:r>
    </w:p>
    <w:sectPr w:rsidR="00F07777" w:rsidRPr="00105240" w:rsidSect="00190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145"/>
    <w:multiLevelType w:val="hybridMultilevel"/>
    <w:tmpl w:val="AD0C16E8"/>
    <w:lvl w:ilvl="0" w:tplc="B582CCB6">
      <w:numFmt w:val="bullet"/>
      <w:lvlText w:val="-"/>
      <w:lvlJc w:val="left"/>
      <w:pPr>
        <w:tabs>
          <w:tab w:val="num" w:pos="1647"/>
        </w:tabs>
        <w:ind w:left="1647" w:right="108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A2B7DE9"/>
    <w:multiLevelType w:val="hybridMultilevel"/>
    <w:tmpl w:val="B5E45DE2"/>
    <w:lvl w:ilvl="0" w:tplc="CD92FA8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410FB"/>
    <w:multiLevelType w:val="hybridMultilevel"/>
    <w:tmpl w:val="107C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6B3DA6"/>
    <w:multiLevelType w:val="hybridMultilevel"/>
    <w:tmpl w:val="EBB4D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F71B51"/>
    <w:multiLevelType w:val="hybridMultilevel"/>
    <w:tmpl w:val="768087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6AB0040"/>
    <w:multiLevelType w:val="hybridMultilevel"/>
    <w:tmpl w:val="9842C85A"/>
    <w:lvl w:ilvl="0" w:tplc="04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7777"/>
    <w:rsid w:val="000E1D96"/>
    <w:rsid w:val="00105240"/>
    <w:rsid w:val="00190C5D"/>
    <w:rsid w:val="0027494E"/>
    <w:rsid w:val="00352FE2"/>
    <w:rsid w:val="00387B88"/>
    <w:rsid w:val="003F371C"/>
    <w:rsid w:val="004B61CB"/>
    <w:rsid w:val="00566EBD"/>
    <w:rsid w:val="0063779B"/>
    <w:rsid w:val="00864FF3"/>
    <w:rsid w:val="00914224"/>
    <w:rsid w:val="00A01D2D"/>
    <w:rsid w:val="00A2522B"/>
    <w:rsid w:val="00A928ED"/>
    <w:rsid w:val="00B23495"/>
    <w:rsid w:val="00B628A7"/>
    <w:rsid w:val="00CB1529"/>
    <w:rsid w:val="00D61D51"/>
    <w:rsid w:val="00ED2496"/>
    <w:rsid w:val="00F0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ED2496"/>
    <w:pPr>
      <w:bidi w:val="0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BC04-B048-44D3-986F-EAC1F8F7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5820</dc:creator>
  <cp:keywords/>
  <dc:description/>
  <cp:lastModifiedBy>محمد بن محمود عبدالوهاب محمود</cp:lastModifiedBy>
  <cp:revision>7</cp:revision>
  <cp:lastPrinted>2014-09-03T09:51:00Z</cp:lastPrinted>
  <dcterms:created xsi:type="dcterms:W3CDTF">2012-11-20T06:16:00Z</dcterms:created>
  <dcterms:modified xsi:type="dcterms:W3CDTF">2014-09-03T09:51:00Z</dcterms:modified>
</cp:coreProperties>
</file>